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1"/>
        </w:trPr>
        <w:tc>
          <w:tcPr>
            <w:shd w:fill="0468b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Proxima Nova" w:cs="Proxima Nova" w:eastAsia="Proxima Nova" w:hAnsi="Proxima Nova"/>
                <w:b w:val="1"/>
                <w:color w:val="ffffff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ffffff"/>
                <w:rtl w:val="0"/>
              </w:rPr>
              <w:t xml:space="preserve">Stakeholder Focus</w:t>
            </w:r>
          </w:p>
        </w:tc>
        <w:tc>
          <w:tcPr>
            <w:shd w:fill="0468b1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Proxima Nova" w:cs="Proxima Nova" w:eastAsia="Proxima Nova" w:hAnsi="Proxima Nova"/>
                <w:b w:val="1"/>
                <w:color w:val="ffffff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color w:val="ffffff"/>
                <w:rtl w:val="0"/>
              </w:rPr>
              <w:t xml:space="preserve">Key Actions/Considerations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1. Define Your Community (WHO)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numPr>
                <w:ilvl w:val="0"/>
                <w:numId w:val="7"/>
              </w:numPr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Identify Target Groups: Specifically list your primary target communities (e.g., residents near factories, school communities, asthma patients).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numPr>
                <w:ilvl w:val="0"/>
                <w:numId w:val="9"/>
              </w:numPr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Understand Community Context: Consider their demographics, existing concerns, communication preferences, and trusted information sources.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Map Stakeholders by Function: Categorize stakeholders into Connectors, Supporters, and Impact Drivers for targeted engagement.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2. Communication Goals (WHY)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numPr>
                <w:ilvl w:val="0"/>
                <w:numId w:val="13"/>
              </w:numPr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Secure Project Support: Aim to gain community buy-in to minimize vandalism and ensure smooth data collection.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numPr>
                <w:ilvl w:val="0"/>
                <w:numId w:val="3"/>
              </w:numPr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Empower Action: Raise awareness to empower communities to protect themselves and advocate for cleaner air.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numPr>
                <w:ilvl w:val="0"/>
                <w:numId w:val="12"/>
              </w:numPr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Build Trust &amp; Credibility: Establish trust in the project, the data, and the team behind it.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3. Key Messages (WHAT to Communicate)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10"/>
              </w:numPr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Project Information: Clearly explain the project's purpose, goals, methodology, and expected benefits for </w:t>
            </w:r>
            <w:r w:rsidDel="00000000" w:rsidR="00000000" w:rsidRPr="00000000">
              <w:rPr>
                <w:rFonts w:ascii="Proxima Nova" w:cs="Proxima Nova" w:eastAsia="Proxima Nova" w:hAnsi="Proxima Nova"/>
                <w:i w:val="1"/>
                <w:rtl w:val="0"/>
              </w:rPr>
              <w:t xml:space="preserve">their</w:t>
            </w: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 community.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14"/>
              </w:numPr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Address Concerns Proactively: Directly address potential concerns about privacy, safety, data accuracy, and resource use.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numPr>
                <w:ilvl w:val="0"/>
                <w:numId w:val="6"/>
              </w:numPr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Highlight Community Benefits: Emphasize the positive impacts tailored to their specific interests (health improvements, environmental benefits, etc.).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numPr>
                <w:ilvl w:val="0"/>
                <w:numId w:val="17"/>
              </w:numPr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Offer Actionable Solutions: Provide practical steps individuals and the community can take to improve air quality and protect themselves.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4. Communication Channels (HOW)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numPr>
                <w:ilvl w:val="0"/>
                <w:numId w:val="4"/>
              </w:numPr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Diverse Channels: Utilize a mix of communication methods to reach different groups (meetings, online, print, local media, community leaders).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15"/>
              </w:numPr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Tailor Channels to Audience: Select channels appropriate for each stakeholder group (e.g., social media for youth, meetings for elders).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numPr>
                <w:ilvl w:val="0"/>
                <w:numId w:val="8"/>
              </w:numPr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Accessible Language: Ensure all communication is clear, concise, and avoids technical jargon. Translate into local languages if needed.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5. Build Trust (ESSENTIAL)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Transparency: Be open about the project, data collection methods, and data usage.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numPr>
                <w:ilvl w:val="0"/>
                <w:numId w:val="16"/>
              </w:numPr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Responsiveness: Actively listen to and address community questions and feedback.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numPr>
                <w:ilvl w:val="0"/>
                <w:numId w:val="11"/>
              </w:numPr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Inclusivity: Engage diverse community members and ensure all voices are heard and valued. Include marginalized groups.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numPr>
                <w:ilvl w:val="0"/>
                <w:numId w:val="5"/>
              </w:numPr>
              <w:ind w:left="720" w:hanging="360"/>
              <w:rPr>
                <w:rFonts w:ascii="Proxima Nova" w:cs="Proxima Nova" w:eastAsia="Proxima Nova" w:hAnsi="Proxima Nova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rtl w:val="0"/>
              </w:rPr>
              <w:t xml:space="preserve">Long-Term Engagement: View communication as an ongoing process, not a one-time event, to maintain trust and support.</w:t>
            </w:r>
          </w:p>
        </w:tc>
      </w:tr>
    </w:tbl>
    <w:p w:rsidR="00000000" w:rsidDel="00000000" w:rsidP="00000000" w:rsidRDefault="00000000" w:rsidRPr="00000000" w14:paraId="00000026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roxima Nova Semibold">
    <w:embedRegular w:fontKey="{00000000-0000-0000-0000-000000000000}" r:id="rId5" w:subsetted="0"/>
    <w:embedBold w:fontKey="{00000000-0000-0000-0000-000000000000}" r:id="rId6" w:subsetted="0"/>
    <w:embedBoldItalic w:fontKey="{00000000-0000-0000-0000-000000000000}" r:id="rId7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spacing w:line="360" w:lineRule="auto"/>
      <w:rPr>
        <w:rFonts w:ascii="Proxima Nova Semibold" w:cs="Proxima Nova Semibold" w:eastAsia="Proxima Nova Semibold" w:hAnsi="Proxima Nova Semibold"/>
        <w:color w:val="0468b1"/>
        <w:sz w:val="24"/>
        <w:szCs w:val="24"/>
        <w:highlight w:val="white"/>
      </w:rPr>
    </w:pPr>
    <w:r w:rsidDel="00000000" w:rsidR="00000000" w:rsidRPr="00000000">
      <w:rPr>
        <w:rFonts w:ascii="Proxima Nova Semibold" w:cs="Proxima Nova Semibold" w:eastAsia="Proxima Nova Semibold" w:hAnsi="Proxima Nova Semibold"/>
        <w:color w:val="0468b1"/>
        <w:sz w:val="24"/>
        <w:szCs w:val="24"/>
        <w:highlight w:val="white"/>
        <w:rtl w:val="0"/>
      </w:rPr>
      <w:t xml:space="preserve">Low-Cost Hyperlocal Air Quality Monitoring Toolkit</w:t>
    </w:r>
  </w:p>
  <w:p w:rsidR="00000000" w:rsidDel="00000000" w:rsidP="00000000" w:rsidRDefault="00000000" w:rsidRPr="00000000" w14:paraId="00000028">
    <w:pPr>
      <w:spacing w:line="360" w:lineRule="auto"/>
      <w:rPr>
        <w:rFonts w:ascii="Proxima Nova Semibold" w:cs="Proxima Nova Semibold" w:eastAsia="Proxima Nova Semibold" w:hAnsi="Proxima Nova Semibold"/>
        <w:color w:val="0468b1"/>
        <w:sz w:val="2"/>
        <w:szCs w:val="2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rPr>
        <w:rFonts w:ascii="Proxima Nova" w:cs="Proxima Nova" w:eastAsia="Proxima Nova" w:hAnsi="Proxima Nova"/>
        <w:b w:val="1"/>
        <w:color w:val="0468b1"/>
        <w:sz w:val="24"/>
        <w:szCs w:val="24"/>
        <w:highlight w:val="white"/>
      </w:rPr>
    </w:pPr>
    <w:r w:rsidDel="00000000" w:rsidR="00000000" w:rsidRPr="00000000">
      <w:rPr>
        <w:rFonts w:ascii="Proxima Nova" w:cs="Proxima Nova" w:eastAsia="Proxima Nova" w:hAnsi="Proxima Nova"/>
        <w:b w:val="1"/>
        <w:color w:val="0468b1"/>
        <w:sz w:val="48"/>
        <w:szCs w:val="48"/>
        <w:highlight w:val="white"/>
        <w:rtl w:val="0"/>
      </w:rPr>
      <w:t xml:space="preserve">P3: Community Engagement Planning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line="360" w:lineRule="auto"/>
      <w:ind w:left="720" w:hanging="360"/>
    </w:pPr>
    <w:rPr>
      <w:rFonts w:ascii="Proxima Nova Semibold" w:cs="Proxima Nova Semibold" w:eastAsia="Proxima Nova Semibold" w:hAnsi="Proxima Nova Semibold"/>
      <w:color w:val="666666"/>
      <w:sz w:val="32"/>
      <w:szCs w:val="32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Proxima Nova" w:cs="Proxima Nova" w:eastAsia="Proxima Nova" w:hAnsi="Proxima Nova"/>
      <w:color w:val="434343"/>
      <w:sz w:val="28"/>
      <w:szCs w:val="28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spacing w:line="360" w:lineRule="auto"/>
    </w:pPr>
    <w:rPr>
      <w:rFonts w:ascii="Proxima Nova" w:cs="Proxima Nova" w:eastAsia="Proxima Nova" w:hAnsi="Proxima Nova"/>
      <w:color w:val="434343"/>
      <w:sz w:val="28"/>
      <w:szCs w:val="28"/>
      <w:highlight w:val="whit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line="360" w:lineRule="auto"/>
      <w:ind w:left="720" w:hanging="360"/>
    </w:pPr>
    <w:rPr>
      <w:rFonts w:ascii="Proxima Nova Semibold" w:cs="Proxima Nova Semibold" w:eastAsia="Proxima Nova Semibold" w:hAnsi="Proxima Nova Semibold"/>
      <w:sz w:val="40"/>
      <w:szCs w:val="40"/>
      <w:highlight w:val="whit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line="360" w:lineRule="auto"/>
      <w:ind w:left="720" w:hanging="360"/>
    </w:pPr>
    <w:rPr>
      <w:rFonts w:ascii="Proxima Nova Semibold" w:cs="Proxima Nova Semibold" w:eastAsia="Proxima Nova Semibold" w:hAnsi="Proxima Nova Semibold"/>
      <w:color w:val="666666"/>
      <w:sz w:val="32"/>
      <w:szCs w:val="32"/>
      <w:highlight w:val="white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Proxima Nova" w:cs="Proxima Nova" w:eastAsia="Proxima Nova" w:hAnsi="Proxima Nova"/>
      <w:color w:val="434343"/>
      <w:sz w:val="28"/>
      <w:szCs w:val="28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spacing w:line="360" w:lineRule="auto"/>
    </w:pPr>
    <w:rPr>
      <w:rFonts w:ascii="Proxima Nova" w:cs="Proxima Nova" w:eastAsia="Proxima Nova" w:hAnsi="Proxima Nova"/>
      <w:color w:val="434343"/>
      <w:sz w:val="28"/>
      <w:szCs w:val="28"/>
      <w:highlight w:val="whit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line="360" w:lineRule="auto"/>
      <w:ind w:left="720" w:hanging="360"/>
    </w:pPr>
    <w:rPr>
      <w:rFonts w:ascii="Proxima Nova Semibold" w:cs="Proxima Nova Semibold" w:eastAsia="Proxima Nova Semibold" w:hAnsi="Proxima Nova Semibold"/>
      <w:sz w:val="40"/>
      <w:szCs w:val="40"/>
      <w:highlight w:val="whit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ProximaNovaSemibold-regular.ttf"/><Relationship Id="rId6" Type="http://schemas.openxmlformats.org/officeDocument/2006/relationships/font" Target="fonts/ProximaNovaSemibold-bold.ttf"/><Relationship Id="rId7" Type="http://schemas.openxmlformats.org/officeDocument/2006/relationships/font" Target="fonts/ProximaNovaSemibol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xxNa/exBAYNnIUWQD+arIQ52NA==">CgMxLjA4AHIhMWw3Sm9HaEk4SnhvZEVZSDNlaDlYaGVKSFdnNUxnZl9s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